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bookmarkStart w:id="0" w:name="_GoBack"/>
      <w:bookmarkEnd w:id="0"/>
      <w:r>
        <w:rPr>
          <w:rFonts w:ascii="Times New Roman" w:eastAsia="標楷體" w:hAnsi="Times New Roman" w:cs="Times New Roman" w:hint="eastAsia"/>
          <w:b/>
          <w:sz w:val="28"/>
          <w:szCs w:val="24"/>
        </w:rPr>
        <w:t>桃</w:t>
      </w:r>
      <w:bookmarkStart w:id="1"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1"/>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w:t>
      </w:r>
      <w:proofErr w:type="gramStart"/>
      <w:r>
        <w:rPr>
          <w:rFonts w:ascii="Times New Roman" w:eastAsia="標楷體" w:hAnsi="Times New Roman" w:cs="Times New Roman" w:hint="eastAsia"/>
          <w:szCs w:val="24"/>
        </w:rPr>
        <w:t>採</w:t>
      </w:r>
      <w:proofErr w:type="gramEnd"/>
      <w:r>
        <w:rPr>
          <w:rFonts w:ascii="Times New Roman" w:eastAsia="標楷體" w:hAnsi="Times New Roman" w:cs="Times New Roman" w:hint="eastAsia"/>
          <w:szCs w:val="24"/>
        </w:rPr>
        <w:t>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proofErr w:type="gramStart"/>
      <w:r>
        <w:rPr>
          <w:rFonts w:ascii="Times New Roman" w:eastAsia="標楷體" w:hAnsi="Times New Roman" w:cs="Times New Roman" w:hint="eastAsia"/>
          <w:szCs w:val="24"/>
        </w:rPr>
        <w:t>柒</w:t>
      </w:r>
      <w:proofErr w:type="gramEnd"/>
      <w:r>
        <w:rPr>
          <w:rFonts w:ascii="Times New Roman" w:eastAsia="標楷體" w:hAnsi="Times New Roman" w:cs="Times New Roman" w:hint="eastAsia"/>
          <w:szCs w:val="24"/>
        </w:rPr>
        <w:t>、徵選內容：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w:t>
      </w:r>
      <w:proofErr w:type="gramStart"/>
      <w:r>
        <w:rPr>
          <w:rFonts w:ascii="Times New Roman" w:eastAsia="標楷體" w:hAnsi="Times New Roman" w:cs="Times New Roman" w:hint="eastAsia"/>
          <w:szCs w:val="24"/>
        </w:rPr>
        <w:t>新課綱</w:t>
      </w:r>
      <w:proofErr w:type="gramEnd"/>
      <w:r>
        <w:rPr>
          <w:rFonts w:ascii="Times New Roman" w:eastAsia="標楷體" w:hAnsi="Times New Roman" w:cs="Times New Roman" w:hint="eastAsia"/>
          <w:szCs w:val="24"/>
        </w:rPr>
        <w:t>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w:t>
      </w:r>
      <w:proofErr w:type="gramStart"/>
      <w:r>
        <w:rPr>
          <w:rFonts w:ascii="Times New Roman" w:eastAsia="標楷體" w:hAnsi="Times New Roman" w:cs="Times New Roman" w:hint="eastAsia"/>
          <w:szCs w:val="24"/>
        </w:rPr>
        <w:t>式橫書撰打</w:t>
      </w:r>
      <w:proofErr w:type="gramEnd"/>
      <w:r>
        <w:rPr>
          <w:rFonts w:ascii="Times New Roman" w:eastAsia="標楷體" w:hAnsi="Times New Roman" w:cs="Times New Roman" w:hint="eastAsia"/>
          <w:szCs w:val="24"/>
        </w:rPr>
        <w:t>，除標題</w:t>
      </w:r>
      <w:proofErr w:type="gramStart"/>
      <w:r>
        <w:rPr>
          <w:rFonts w:ascii="Times New Roman" w:eastAsia="標楷體" w:hAnsi="Times New Roman" w:cs="Times New Roman"/>
          <w:szCs w:val="24"/>
        </w:rPr>
        <w:t>16</w:t>
      </w:r>
      <w:r>
        <w:rPr>
          <w:rFonts w:ascii="Times New Roman" w:eastAsia="標楷體" w:hAnsi="Times New Roman" w:cs="Times New Roman" w:hint="eastAsia"/>
          <w:szCs w:val="24"/>
        </w:rPr>
        <w:t>號字</w:t>
      </w:r>
      <w:proofErr w:type="gramEnd"/>
      <w:r>
        <w:rPr>
          <w:rFonts w:ascii="Times New Roman" w:eastAsia="標楷體" w:hAnsi="Times New Roman" w:cs="Times New Roman" w:hint="eastAsia"/>
          <w:szCs w:val="24"/>
        </w:rPr>
        <w:t>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proofErr w:type="gramStart"/>
      <w:r>
        <w:rPr>
          <w:rFonts w:ascii="Times New Roman" w:eastAsia="標楷體" w:hAnsi="Times New Roman" w:cs="Times New Roman" w:hint="eastAsia"/>
          <w:szCs w:val="24"/>
        </w:rPr>
        <w:t>省思性</w:t>
      </w:r>
      <w:proofErr w:type="gramEnd"/>
      <w:r>
        <w:rPr>
          <w:rFonts w:ascii="Times New Roman" w:eastAsia="標楷體" w:hAnsi="Times New Roman" w:cs="Times New Roman" w:hint="eastAsia"/>
          <w:szCs w:val="24"/>
        </w:rPr>
        <w:t>（</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w:t>
      </w:r>
      <w:proofErr w:type="gramStart"/>
      <w:r>
        <w:rPr>
          <w:rFonts w:ascii="Times New Roman" w:eastAsia="標楷體" w:hAnsi="Times New Roman" w:cs="Times New Roman" w:hint="eastAsia"/>
          <w:szCs w:val="24"/>
        </w:rPr>
        <w:t>嘉獎貳次</w:t>
      </w:r>
      <w:proofErr w:type="gramEnd"/>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w:t>
      </w:r>
      <w:proofErr w:type="gramStart"/>
      <w:r>
        <w:rPr>
          <w:rFonts w:ascii="Times New Roman" w:eastAsia="標楷體" w:hAnsi="Times New Roman" w:cs="Times New Roman" w:hint="eastAsia"/>
          <w:szCs w:val="24"/>
        </w:rPr>
        <w:t>（</w:t>
      </w:r>
      <w:proofErr w:type="gramEnd"/>
      <w:r>
        <w:rPr>
          <w:rFonts w:ascii="Times New Roman" w:eastAsia="標楷體" w:hAnsi="Times New Roman" w:cs="Times New Roman" w:hint="eastAsia"/>
          <w:szCs w:val="24"/>
        </w:rPr>
        <w:t>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w:t>
      </w:r>
      <w:proofErr w:type="gramStart"/>
      <w:r>
        <w:rPr>
          <w:rFonts w:ascii="標楷體" w:eastAsia="標楷體" w:hAnsi="標楷體" w:cs="Arial" w:hint="eastAsia"/>
          <w:color w:val="000000"/>
          <w:szCs w:val="24"/>
        </w:rPr>
        <w:t>計畫陳本府</w:t>
      </w:r>
      <w:proofErr w:type="gramEnd"/>
      <w:r>
        <w:rPr>
          <w:rFonts w:ascii="標楷體" w:eastAsia="標楷體" w:hAnsi="標楷體" w:cs="Arial" w:hint="eastAsia"/>
          <w:color w:val="000000"/>
          <w:szCs w:val="24"/>
        </w:rPr>
        <w:t>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w:t>
      </w:r>
      <w:proofErr w:type="gramStart"/>
      <w:r w:rsidRPr="003C5BBE">
        <w:rPr>
          <w:rFonts w:ascii="標楷體" w:eastAsia="標楷體" w:hAnsi="標楷體" w:cs="標楷體" w:hint="eastAsia"/>
          <w:szCs w:val="24"/>
        </w:rPr>
        <w:t>三</w:t>
      </w:r>
      <w:proofErr w:type="gramEnd"/>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17FC" w14:textId="77777777" w:rsidR="00D63A1F" w:rsidRDefault="00D63A1F" w:rsidP="00C5503E">
      <w:r>
        <w:separator/>
      </w:r>
    </w:p>
  </w:endnote>
  <w:endnote w:type="continuationSeparator" w:id="0">
    <w:p w14:paraId="63D987B6" w14:textId="77777777" w:rsidR="00D63A1F" w:rsidRDefault="00D63A1F"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A14B6" w14:textId="77777777" w:rsidR="00D63A1F" w:rsidRDefault="00D63A1F" w:rsidP="00C5503E">
      <w:r>
        <w:separator/>
      </w:r>
    </w:p>
  </w:footnote>
  <w:footnote w:type="continuationSeparator" w:id="0">
    <w:p w14:paraId="2C0E7145" w14:textId="77777777" w:rsidR="00D63A1F" w:rsidRDefault="00D63A1F"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55"/>
    <w:rsid w:val="0004568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C5503E"/>
    <w:rsid w:val="00D63A1F"/>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cp:lastPrinted>2022-11-15T06:08:00Z</cp:lastPrinted>
  <dcterms:created xsi:type="dcterms:W3CDTF">2022-11-27T13:58:00Z</dcterms:created>
  <dcterms:modified xsi:type="dcterms:W3CDTF">2022-11-27T13:58:00Z</dcterms:modified>
</cp:coreProperties>
</file>