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</w:t>
      </w:r>
      <w:proofErr w:type="gramStart"/>
      <w:r w:rsidR="00B6174E" w:rsidRPr="00542F14">
        <w:rPr>
          <w:rFonts w:ascii="標楷體" w:eastAsia="標楷體" w:hAnsi="標楷體" w:hint="eastAsia"/>
        </w:rPr>
        <w:t>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</w:t>
      </w:r>
      <w:proofErr w:type="gramEnd"/>
      <w:r w:rsidRPr="00542F14">
        <w:rPr>
          <w:rFonts w:ascii="標楷體" w:eastAsia="標楷體" w:hAnsi="標楷體" w:hint="eastAsia"/>
        </w:rPr>
        <w:t>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proofErr w:type="gramStart"/>
      <w:r w:rsidRPr="00542F14">
        <w:rPr>
          <w:rFonts w:ascii="標楷體" w:eastAsia="標楷體" w:hAnsi="標楷體" w:hint="eastAsia"/>
          <w:b/>
          <w:color w:val="000000" w:themeColor="text1"/>
        </w:rPr>
        <w:t>疫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</w:rPr>
        <w:t>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</w:t>
      </w:r>
      <w:proofErr w:type="gramEnd"/>
      <w:r w:rsidR="00992D9B" w:rsidRPr="00542F14">
        <w:rPr>
          <w:rFonts w:ascii="標楷體" w:eastAsia="標楷體" w:hAnsi="標楷體" w:hint="eastAsia"/>
          <w:color w:val="000000" w:themeColor="text1"/>
        </w:rPr>
        <w:t>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r w:rsidR="006D36A5" w:rsidRPr="00542F14">
        <w:rPr>
          <w:rFonts w:ascii="標楷體" w:eastAsia="標楷體" w:hAnsi="標楷體" w:hint="eastAsia"/>
          <w:color w:val="000000" w:themeColor="text1"/>
        </w:rPr>
        <w:t>疫情影響以致無法到校輔導，則</w:t>
      </w:r>
      <w:proofErr w:type="gramStart"/>
      <w:r w:rsidR="006D36A5" w:rsidRPr="00542F14">
        <w:rPr>
          <w:rFonts w:ascii="標楷體" w:eastAsia="標楷體" w:hAnsi="標楷體" w:hint="eastAsia"/>
          <w:color w:val="000000" w:themeColor="text1"/>
        </w:rPr>
        <w:t>以線上視</w:t>
      </w:r>
      <w:proofErr w:type="gramEnd"/>
      <w:r w:rsidR="006D36A5" w:rsidRPr="00542F14">
        <w:rPr>
          <w:rFonts w:ascii="標楷體" w:eastAsia="標楷體" w:hAnsi="標楷體" w:hint="eastAsia"/>
          <w:color w:val="000000" w:themeColor="text1"/>
        </w:rPr>
        <w:t>訊輔導方式進行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0976C6">
        <w:rPr>
          <w:rFonts w:ascii="標楷體" w:eastAsia="標楷體" w:hAnsi="標楷體" w:hint="eastAsia"/>
          <w:color w:val="000000" w:themeColor="text1"/>
        </w:rPr>
        <w:t>112</w:t>
      </w:r>
      <w:proofErr w:type="gramEnd"/>
      <w:r w:rsidR="000976C6" w:rsidRPr="000976C6">
        <w:rPr>
          <w:rFonts w:ascii="標楷體" w:eastAsia="標楷體" w:hAnsi="標楷體" w:hint="eastAsia"/>
          <w:color w:val="000000" w:themeColor="text1"/>
        </w:rPr>
        <w:t>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霄裡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內聘助理</w:t>
            </w:r>
            <w:proofErr w:type="gramEnd"/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介壽附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線上視訊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輔導則以會議室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螢幕截圖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為依據。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FA845" w14:textId="77777777" w:rsidR="00120AA5" w:rsidRDefault="00120AA5" w:rsidP="00297B98">
      <w:r>
        <w:separator/>
      </w:r>
    </w:p>
  </w:endnote>
  <w:endnote w:type="continuationSeparator" w:id="0">
    <w:p w14:paraId="66518B9B" w14:textId="77777777" w:rsidR="00120AA5" w:rsidRDefault="00120AA5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50F8" w14:textId="77777777" w:rsidR="00120AA5" w:rsidRDefault="00120AA5" w:rsidP="00297B98">
      <w:r>
        <w:separator/>
      </w:r>
    </w:p>
  </w:footnote>
  <w:footnote w:type="continuationSeparator" w:id="0">
    <w:p w14:paraId="33B82F43" w14:textId="77777777" w:rsidR="00120AA5" w:rsidRDefault="00120AA5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0AA5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5C0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1E2E-B64F-459B-9EFB-AC9AD14E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2022-10-26T11:18:00Z</cp:lastPrinted>
  <dcterms:created xsi:type="dcterms:W3CDTF">2022-10-27T13:32:00Z</dcterms:created>
  <dcterms:modified xsi:type="dcterms:W3CDTF">2022-10-27T13:32:00Z</dcterms:modified>
</cp:coreProperties>
</file>